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40" w:name="X44b9e2e78a121cb7ef6a47d146dd5bd2852a79a"/>
    <w:p>
      <w:pPr>
        <w:pStyle w:val="Heading1"/>
      </w:pPr>
      <w:r>
        <w:rPr>
          <w:bCs/>
          <w:rFonts w:ascii="Arial" w:hAnsi="Arial"/>
          <w:b/>
          <w:sz w:val="48"/>
        </w:rPr>
        <w:t xml:space="preserve">TechWave Solutions Expense Policy Document</w:t>
      </w:r>
    </w:p>
    <w:p>
      <w:pPr>
        <w:pStyle w:val="FirstParagraph"/>
      </w:pPr>
      <w:r>
        <w:rPr>
          <w:rFonts w:ascii="Arial" w:hAnsi="Arial"/>
          <w:sz w:val="24"/>
        </w:rPr>
        <w:t xml:space="preserve">Welcome to the TechWave Solutions Expense Policy. This document outlines the procedures and guidelines for incurring and reporting expenses to ensure compliance, accountability, and efficiency across our organization. As a mid-sized technology firm specializing in cloud-based services, we recognize the importance of clear policies to support our team and business objectives.</w:t>
      </w:r>
    </w:p>
    <w:bookmarkStart w:id="22" w:name="expense-definitions-and-categories"/>
    <w:p>
      <w:pPr>
        <w:pStyle w:val="Heading2"/>
      </w:pPr>
      <w:r>
        <w:rPr>
          <w:rFonts w:ascii="Arial" w:hAnsi="Arial"/>
          <w:sz w:val="40"/>
        </w:rPr>
        <w:t xml:space="preserve">Expense Definitions and Categories</w:t>
      </w:r>
    </w:p>
    <w:bookmarkStart w:id="20" w:name="authorized-expenses"/>
    <w:p>
      <w:pPr>
        <w:pStyle w:val="Heading3"/>
      </w:pPr>
      <w:r>
        <w:rPr>
          <w:bCs/>
          <w:rFonts w:ascii="Arial" w:hAnsi="Arial"/>
          <w:b/>
          <w:sz w:val="36"/>
        </w:rPr>
        <w:t xml:space="preserve">1. Authorized Expenses</w:t>
      </w:r>
    </w:p>
    <w:p>
      <w:pPr>
        <w:pStyle w:val="FirstParagraph"/>
      </w:pPr>
      <w:r>
        <w:rPr>
          <w:rFonts w:ascii="Arial" w:hAnsi="Arial"/>
          <w:sz w:val="24"/>
        </w:rPr>
        <w:t xml:space="preserve">Authorized business expenses include, but are not limited to:</w:t>
      </w:r>
    </w:p>
    <w:p>
      <w:pPr>
        <w:numPr>
          <w:ilvl w:val="0"/>
          <w:numId w:val="1001"/>
        </w:numPr>
        <w:pStyle w:val="Compact"/>
      </w:pPr>
      <w:r>
        <w:rPr>
          <w:bCs/>
          <w:rFonts w:ascii="Arial" w:hAnsi="Arial"/>
          <w:b/>
          <w:sz w:val="24"/>
        </w:rPr>
        <w:t xml:space="preserve">Travel:</w:t>
      </w:r>
      <w:r>
        <w:rPr>
          <w:rFonts w:ascii="Arial" w:hAnsi="Arial"/>
          <w:sz w:val="24"/>
        </w:rPr>
        <w:t xml:space="preserve"> </w:t>
      </w:r>
      <w:r>
        <w:rPr>
          <w:rFonts w:ascii="Arial" w:hAnsi="Arial"/>
          <w:sz w:val="24"/>
        </w:rPr>
        <w:t xml:space="preserve">Includes airfare, accommodation, and daily meals.</w:t>
      </w:r>
    </w:p>
    <w:p>
      <w:pPr>
        <w:numPr>
          <w:ilvl w:val="0"/>
          <w:numId w:val="1001"/>
        </w:numPr>
        <w:pStyle w:val="Compact"/>
      </w:pPr>
      <w:r>
        <w:rPr>
          <w:bCs/>
          <w:rFonts w:ascii="Arial" w:hAnsi="Arial"/>
          <w:b/>
          <w:sz w:val="24"/>
        </w:rPr>
        <w:t xml:space="preserve">Client Entertainment:</w:t>
      </w:r>
      <w:r>
        <w:rPr>
          <w:rFonts w:ascii="Arial" w:hAnsi="Arial"/>
          <w:sz w:val="24"/>
        </w:rPr>
        <w:t xml:space="preserve"> </w:t>
      </w:r>
      <w:r>
        <w:rPr>
          <w:rFonts w:ascii="Arial" w:hAnsi="Arial"/>
          <w:sz w:val="24"/>
        </w:rPr>
        <w:t xml:space="preserve">Costs incurred for entertaining clients, including meals and event tickets.</w:t>
      </w:r>
    </w:p>
    <w:p>
      <w:pPr>
        <w:numPr>
          <w:ilvl w:val="0"/>
          <w:numId w:val="1001"/>
        </w:numPr>
        <w:pStyle w:val="Compact"/>
      </w:pPr>
      <w:r>
        <w:rPr>
          <w:bCs/>
          <w:rFonts w:ascii="Arial" w:hAnsi="Arial"/>
          <w:b/>
          <w:sz w:val="24"/>
        </w:rPr>
        <w:t xml:space="preserve">Software Subscriptions:</w:t>
      </w:r>
      <w:r>
        <w:rPr>
          <w:rFonts w:ascii="Arial" w:hAnsi="Arial"/>
          <w:sz w:val="24"/>
        </w:rPr>
        <w:t xml:space="preserve"> </w:t>
      </w:r>
      <w:r>
        <w:rPr>
          <w:rFonts w:ascii="Arial" w:hAnsi="Arial"/>
          <w:sz w:val="24"/>
        </w:rPr>
        <w:t xml:space="preserve">Annual subscriptions for professional development and operational efficiency.</w:t>
      </w:r>
    </w:p>
    <w:p>
      <w:pPr>
        <w:numPr>
          <w:ilvl w:val="0"/>
          <w:numId w:val="1001"/>
        </w:numPr>
        <w:pStyle w:val="Compact"/>
      </w:pPr>
      <w:r>
        <w:rPr>
          <w:bCs/>
          <w:rFonts w:ascii="Arial" w:hAnsi="Arial"/>
          <w:b/>
          <w:sz w:val="24"/>
        </w:rPr>
        <w:t xml:space="preserve">Office Supplies:</w:t>
      </w:r>
      <w:r>
        <w:rPr>
          <w:rFonts w:ascii="Arial" w:hAnsi="Arial"/>
          <w:sz w:val="24"/>
        </w:rPr>
        <w:t xml:space="preserve"> </w:t>
      </w:r>
      <w:r>
        <w:rPr>
          <w:rFonts w:ascii="Arial" w:hAnsi="Arial"/>
          <w:sz w:val="24"/>
        </w:rPr>
        <w:t xml:space="preserve">Standard office materials and supplies necessary for daily operations.</w:t>
      </w:r>
    </w:p>
    <w:p>
      <w:pPr>
        <w:numPr>
          <w:ilvl w:val="0"/>
          <w:numId w:val="1001"/>
        </w:numPr>
        <w:pStyle w:val="Compact"/>
      </w:pPr>
      <w:r>
        <w:rPr>
          <w:bCs/>
          <w:rFonts w:ascii="Arial" w:hAnsi="Arial"/>
          <w:b/>
          <w:sz w:val="24"/>
        </w:rPr>
        <w:t xml:space="preserve">Home Office Setup (New):</w:t>
      </w:r>
      <w:r>
        <w:rPr>
          <w:rFonts w:ascii="Arial" w:hAnsi="Arial"/>
          <w:sz w:val="24"/>
        </w:rPr>
        <w:t xml:space="preserve"> </w:t>
      </w:r>
      <w:r>
        <w:rPr>
          <w:rFonts w:ascii="Arial" w:hAnsi="Arial"/>
          <w:sz w:val="24"/>
        </w:rPr>
        <w:t xml:space="preserve">For remote employees, covering ergonomic furniture and technology upgrades.</w:t>
      </w:r>
    </w:p>
    <w:p>
      <w:pPr>
        <w:numPr>
          <w:ilvl w:val="0"/>
          <w:numId w:val="1001"/>
        </w:numPr>
        <w:pStyle w:val="Compact"/>
      </w:pPr>
      <w:r>
        <w:rPr>
          <w:bCs/>
          <w:rFonts w:ascii="Arial" w:hAnsi="Arial"/>
          <w:b/>
          <w:sz w:val="24"/>
        </w:rPr>
        <w:t xml:space="preserve">Enhanced Internet Plans (New):</w:t>
      </w:r>
      <w:r>
        <w:rPr>
          <w:rFonts w:ascii="Arial" w:hAnsi="Arial"/>
          <w:sz w:val="24"/>
        </w:rPr>
        <w:t xml:space="preserve"> </w:t>
      </w:r>
      <w:r>
        <w:rPr>
          <w:rFonts w:ascii="Arial" w:hAnsi="Arial"/>
          <w:sz w:val="24"/>
        </w:rPr>
        <w:t xml:space="preserve">Monthly additional support for remote workers requiring high-speed internet.</w:t>
      </w:r>
    </w:p>
    <w:bookmarkEnd w:id="20"/>
    <w:bookmarkStart w:id="21" w:name="non-reimbursable-items"/>
    <w:p>
      <w:pPr>
        <w:pStyle w:val="Heading3"/>
      </w:pPr>
      <w:r>
        <w:rPr>
          <w:bCs/>
          <w:rFonts w:ascii="Arial" w:hAnsi="Arial"/>
          <w:b/>
          <w:sz w:val="36"/>
        </w:rPr>
        <w:t xml:space="preserve">2. Non-Reimbursable Items</w:t>
      </w:r>
    </w:p>
    <w:p>
      <w:pPr>
        <w:pStyle w:val="FirstParagraph"/>
      </w:pPr>
      <w:r>
        <w:rPr>
          <w:rFonts w:ascii="Arial" w:hAnsi="Arial"/>
          <w:sz w:val="24"/>
        </w:rPr>
        <w:t xml:space="preserve">Expenses not covered include personal expenses, traffic fines, and any costs not directly contributing to business operations.</w:t>
      </w:r>
    </w:p>
    <w:bookmarkEnd w:id="21"/>
    <w:bookmarkEnd w:id="22"/>
    <w:bookmarkStart w:id="25" w:name="spending-limits-and-approvals"/>
    <w:p>
      <w:pPr>
        <w:pStyle w:val="Heading2"/>
      </w:pPr>
      <w:r>
        <w:rPr>
          <w:rFonts w:ascii="Arial" w:hAnsi="Arial"/>
          <w:sz w:val="40"/>
        </w:rPr>
        <w:t xml:space="preserve">Spending Limits and Approvals</w:t>
      </w:r>
    </w:p>
    <w:bookmarkStart w:id="23" w:name="spending-limits"/>
    <w:p>
      <w:pPr>
        <w:pStyle w:val="Heading3"/>
      </w:pPr>
      <w:r>
        <w:rPr>
          <w:rFonts w:ascii="Arial" w:hAnsi="Arial"/>
          <w:sz w:val="36"/>
        </w:rPr>
        <w:t xml:space="preserve">Spending Limits</w:t>
      </w:r>
    </w:p>
    <w:p>
      <w:pPr>
        <w:numPr>
          <w:ilvl w:val="0"/>
          <w:numId w:val="1002"/>
        </w:numPr>
        <w:pStyle w:val="Compact"/>
      </w:pPr>
      <w:r>
        <w:rPr>
          <w:bCs/>
          <w:rFonts w:ascii="Arial" w:hAnsi="Arial"/>
          <w:b/>
          <w:sz w:val="24"/>
        </w:rPr>
        <w:t xml:space="preserve">Travel:</w:t>
      </w:r>
      <w:r>
        <w:rPr>
          <w:rFonts w:ascii="Arial" w:hAnsi="Arial"/>
          <w:sz w:val="24"/>
        </w:rPr>
        <w:t xml:space="preserve"> </w:t>
      </w:r>
      <w:r>
        <w:rPr>
          <w:rFonts w:ascii="Arial" w:hAnsi="Arial"/>
          <w:sz w:val="24"/>
        </w:rPr>
        <w:t xml:space="preserve">Up to $200/day for accommodation, $50 for meals, $300 for flights.</w:t>
      </w:r>
    </w:p>
    <w:p>
      <w:pPr>
        <w:numPr>
          <w:ilvl w:val="0"/>
          <w:numId w:val="1002"/>
        </w:numPr>
        <w:pStyle w:val="Compact"/>
      </w:pPr>
      <w:r>
        <w:rPr>
          <w:bCs/>
          <w:rFonts w:ascii="Arial" w:hAnsi="Arial"/>
          <w:b/>
          <w:sz w:val="24"/>
        </w:rPr>
        <w:t xml:space="preserve">Client Entertainment:</w:t>
      </w:r>
      <w:r>
        <w:rPr>
          <w:rFonts w:ascii="Arial" w:hAnsi="Arial"/>
          <w:sz w:val="24"/>
        </w:rPr>
        <w:t xml:space="preserve"> </w:t>
      </w:r>
      <w:r>
        <w:rPr>
          <w:rFonts w:ascii="Arial" w:hAnsi="Arial"/>
          <w:sz w:val="24"/>
        </w:rPr>
        <w:t xml:space="preserve">Up to $100 per person.</w:t>
      </w:r>
    </w:p>
    <w:p>
      <w:pPr>
        <w:numPr>
          <w:ilvl w:val="0"/>
          <w:numId w:val="1002"/>
        </w:numPr>
        <w:pStyle w:val="Compact"/>
      </w:pPr>
      <w:r>
        <w:rPr>
          <w:bCs/>
          <w:rFonts w:ascii="Arial" w:hAnsi="Arial"/>
          <w:b/>
          <w:sz w:val="24"/>
        </w:rPr>
        <w:t xml:space="preserve">Software Subscriptions:</w:t>
      </w:r>
      <w:r>
        <w:rPr>
          <w:rFonts w:ascii="Arial" w:hAnsi="Arial"/>
          <w:sz w:val="24"/>
        </w:rPr>
        <w:t xml:space="preserve"> </w:t>
      </w:r>
      <w:r>
        <w:rPr>
          <w:rFonts w:ascii="Arial" w:hAnsi="Arial"/>
          <w:sz w:val="24"/>
        </w:rPr>
        <w:t xml:space="preserve">Maximum $500 annually per employee.</w:t>
      </w:r>
    </w:p>
    <w:p>
      <w:pPr>
        <w:numPr>
          <w:ilvl w:val="0"/>
          <w:numId w:val="1002"/>
        </w:numPr>
        <w:pStyle w:val="Compact"/>
      </w:pPr>
      <w:r>
        <w:rPr>
          <w:bCs/>
          <w:rFonts w:ascii="Arial" w:hAnsi="Arial"/>
          <w:b/>
          <w:sz w:val="24"/>
        </w:rPr>
        <w:t xml:space="preserve">Office Supplies:</w:t>
      </w:r>
      <w:r>
        <w:rPr>
          <w:rFonts w:ascii="Arial" w:hAnsi="Arial"/>
          <w:sz w:val="24"/>
        </w:rPr>
        <w:t xml:space="preserve"> </w:t>
      </w:r>
      <w:r>
        <w:rPr>
          <w:rFonts w:ascii="Arial" w:hAnsi="Arial"/>
          <w:sz w:val="24"/>
        </w:rPr>
        <w:t xml:space="preserve">Not to exceed $50/month per employee.</w:t>
      </w:r>
    </w:p>
    <w:p>
      <w:pPr>
        <w:numPr>
          <w:ilvl w:val="0"/>
          <w:numId w:val="1002"/>
        </w:numPr>
        <w:pStyle w:val="Compact"/>
      </w:pPr>
      <w:r>
        <w:rPr>
          <w:bCs/>
          <w:rFonts w:ascii="Arial" w:hAnsi="Arial"/>
          <w:b/>
          <w:sz w:val="24"/>
        </w:rPr>
        <w:t xml:space="preserve">Home Office Setup:</w:t>
      </w:r>
      <w:r>
        <w:rPr>
          <w:rFonts w:ascii="Arial" w:hAnsi="Arial"/>
          <w:sz w:val="24"/>
        </w:rPr>
        <w:t xml:space="preserve"> </w:t>
      </w:r>
      <w:r>
        <w:rPr>
          <w:rFonts w:ascii="Arial" w:hAnsi="Arial"/>
          <w:sz w:val="24"/>
        </w:rPr>
        <w:t xml:space="preserve">A one-time allowance of up to $500.</w:t>
      </w:r>
    </w:p>
    <w:p>
      <w:pPr>
        <w:numPr>
          <w:ilvl w:val="0"/>
          <w:numId w:val="1002"/>
        </w:numPr>
        <w:pStyle w:val="Compact"/>
      </w:pPr>
      <w:r>
        <w:rPr>
          <w:bCs/>
          <w:rFonts w:ascii="Arial" w:hAnsi="Arial"/>
          <w:b/>
          <w:sz w:val="24"/>
        </w:rPr>
        <w:t xml:space="preserve">Internet Plans:</w:t>
      </w:r>
      <w:r>
        <w:rPr>
          <w:rFonts w:ascii="Arial" w:hAnsi="Arial"/>
          <w:sz w:val="24"/>
        </w:rPr>
        <w:t xml:space="preserve"> </w:t>
      </w:r>
      <w:r>
        <w:rPr>
          <w:rFonts w:ascii="Arial" w:hAnsi="Arial"/>
          <w:sz w:val="24"/>
        </w:rPr>
        <w:t xml:space="preserve">An additional $30/month for enhanced plans.</w:t>
      </w:r>
    </w:p>
    <w:bookmarkEnd w:id="23"/>
    <w:bookmarkStart w:id="24" w:name="approval-process"/>
    <w:p>
      <w:pPr>
        <w:pStyle w:val="Heading3"/>
      </w:pPr>
      <w:r>
        <w:rPr>
          <w:rFonts w:ascii="Arial" w:hAnsi="Arial"/>
          <w:sz w:val="36"/>
        </w:rPr>
        <w:t xml:space="preserve">Approval Process</w:t>
      </w:r>
    </w:p>
    <w:p>
      <w:pPr>
        <w:pStyle w:val="FirstParagraph"/>
      </w:pPr>
      <w:r>
        <w:rPr>
          <w:bCs/>
          <w:rFonts w:ascii="Arial" w:hAnsi="Arial"/>
          <w:b/>
          <w:sz w:val="24"/>
        </w:rPr>
        <w:t xml:space="preserve">Up to $100:</w:t>
      </w:r>
      <w:r>
        <w:rPr>
          <w:rFonts w:ascii="Arial" w:hAnsi="Arial"/>
          <w:sz w:val="24"/>
        </w:rPr>
        <w:t xml:space="preserve"> </w:t>
      </w:r>
      <w:r>
        <w:rPr>
          <w:rFonts w:ascii="Arial" w:hAnsi="Arial"/>
          <w:sz w:val="24"/>
        </w:rPr>
        <w:t xml:space="preserve">Requires direct manager approval.</w:t>
      </w:r>
      <w:r>
        <w:rPr>
          <w:rFonts w:ascii="Arial" w:hAnsi="Arial"/>
          <w:sz w:val="24"/>
        </w:rPr>
        <w:br/>
      </w:r>
      <w:r>
        <w:rPr>
          <w:bCs/>
          <w:rFonts w:ascii="Arial" w:hAnsi="Arial"/>
          <w:b/>
          <w:sz w:val="24"/>
        </w:rPr>
        <w:t xml:space="preserve">$100-$500:</w:t>
      </w:r>
      <w:r>
        <w:rPr>
          <w:rFonts w:ascii="Arial" w:hAnsi="Arial"/>
          <w:sz w:val="24"/>
        </w:rPr>
        <w:t xml:space="preserve"> </w:t>
      </w:r>
      <w:r>
        <w:rPr>
          <w:rFonts w:ascii="Arial" w:hAnsi="Arial"/>
          <w:sz w:val="24"/>
        </w:rPr>
        <w:t xml:space="preserve">Needs department head approval.</w:t>
      </w:r>
      <w:r>
        <w:rPr>
          <w:rFonts w:ascii="Arial" w:hAnsi="Arial"/>
          <w:sz w:val="24"/>
        </w:rPr>
        <w:br/>
      </w:r>
      <w:r>
        <w:rPr>
          <w:bCs/>
          <w:rFonts w:ascii="Arial" w:hAnsi="Arial"/>
          <w:b/>
          <w:sz w:val="24"/>
        </w:rPr>
        <w:t xml:space="preserve">Above $500:</w:t>
      </w:r>
      <w:r>
        <w:rPr>
          <w:rFonts w:ascii="Arial" w:hAnsi="Arial"/>
          <w:sz w:val="24"/>
        </w:rPr>
        <w:t xml:space="preserve"> </w:t>
      </w:r>
      <w:r>
        <w:rPr>
          <w:rFonts w:ascii="Arial" w:hAnsi="Arial"/>
          <w:sz w:val="24"/>
        </w:rPr>
        <w:t xml:space="preserve">Requires CFO approval.</w:t>
      </w:r>
    </w:p>
    <w:p>
      <w:pPr>
        <w:pStyle w:val="BodyText"/>
      </w:pPr>
      <w:r>
        <w:rPr>
          <w:rFonts w:ascii="Arial" w:hAnsi="Arial"/>
          <w:sz w:val="24"/>
        </w:rPr>
        <w:t xml:space="preserve">The approval workflow is fully integrated into the company Slack workspace to streamline the process and ensure accountability.</w:t>
      </w:r>
    </w:p>
    <w:bookmarkEnd w:id="24"/>
    <w:bookmarkEnd w:id="25"/>
    <w:bookmarkStart w:id="26" w:name="documentation-and-receipts"/>
    <w:p>
      <w:pPr>
        <w:pStyle w:val="Heading2"/>
      </w:pPr>
      <w:r>
        <w:rPr>
          <w:rFonts w:ascii="Arial" w:hAnsi="Arial"/>
          <w:sz w:val="40"/>
        </w:rPr>
        <w:t xml:space="preserve">Documentation and Receipts</w:t>
      </w:r>
    </w:p>
    <w:p>
      <w:pPr>
        <w:numPr>
          <w:ilvl w:val="0"/>
          <w:numId w:val="1003"/>
        </w:numPr>
        <w:pStyle w:val="Compact"/>
      </w:pPr>
      <w:r>
        <w:rPr>
          <w:rFonts w:ascii="Arial" w:hAnsi="Arial"/>
          <w:sz w:val="24"/>
        </w:rPr>
        <w:t xml:space="preserve">All claims must be supported by valid receipts or invoices. </w:t>
      </w:r>
    </w:p>
    <w:p>
      <w:pPr>
        <w:numPr>
          <w:ilvl w:val="0"/>
          <w:numId w:val="1003"/>
        </w:numPr>
        <w:pStyle w:val="Compact"/>
      </w:pPr>
      <w:r>
        <w:rPr>
          <w:rFonts w:ascii="Arial" w:hAnsi="Arial"/>
          <w:sz w:val="24"/>
        </w:rPr>
        <w:t xml:space="preserve">For travel, a detailed itinerary is required. </w:t>
      </w:r>
    </w:p>
    <w:p>
      <w:pPr>
        <w:numPr>
          <w:ilvl w:val="0"/>
          <w:numId w:val="1003"/>
        </w:numPr>
        <w:pStyle w:val="Compact"/>
      </w:pPr>
      <w:r>
        <w:rPr>
          <w:rFonts w:ascii="Arial" w:hAnsi="Arial"/>
          <w:sz w:val="24"/>
        </w:rPr>
        <w:t xml:space="preserve">E-receipts are acceptable for online subscriptions.</w:t>
      </w:r>
    </w:p>
    <w:bookmarkEnd w:id="26"/>
    <w:bookmarkStart w:id="27" w:name="accessibility"/>
    <w:p>
      <w:pPr>
        <w:pStyle w:val="Heading2"/>
      </w:pPr>
      <w:r>
        <w:rPr>
          <w:rFonts w:ascii="Arial" w:hAnsi="Arial"/>
          <w:sz w:val="40"/>
        </w:rPr>
        <w:t xml:space="preserve">Accessibility</w:t>
      </w:r>
    </w:p>
    <w:p>
      <w:pPr>
        <w:pStyle w:val="FirstParagraph"/>
      </w:pPr>
      <w:r>
        <w:rPr>
          <w:rFonts w:ascii="Arial" w:hAnsi="Arial"/>
          <w:sz w:val="24"/>
        </w:rPr>
        <w:t xml:space="preserve">This policy is readily available on the company's intranet, included in onboarding materials for new hires, and featured on our internal operations dashboard to ensure easy access and understanding.</w:t>
      </w:r>
    </w:p>
    <w:bookmarkEnd w:id="27"/>
    <w:bookmarkStart w:id="28" w:name="updates-and-communication"/>
    <w:p>
      <w:pPr>
        <w:pStyle w:val="Heading2"/>
      </w:pPr>
      <w:r>
        <w:rPr>
          <w:rFonts w:ascii="Arial" w:hAnsi="Arial"/>
          <w:sz w:val="40"/>
        </w:rPr>
        <w:t xml:space="preserve">Updates and Communication</w:t>
      </w:r>
    </w:p>
    <w:p>
      <w:pPr>
        <w:pStyle w:val="FirstParagraph"/>
      </w:pPr>
      <w:r>
        <w:rPr>
          <w:rFonts w:ascii="Arial" w:hAnsi="Arial"/>
          <w:sz w:val="24"/>
        </w:rPr>
        <w:t xml:space="preserve">The policy will be reviewed bi-annually to reflect any necessary adjustments based on market conditions, company growth, and employee feedback. Changes will be communicated through various channels, including all-hands meetings, email newsletters, and updates on the intranet and within the expense management software.</w:t>
      </w:r>
    </w:p>
    <w:p>
      <w:pPr>
        <w:pStyle w:val="BodyText"/>
      </w:pPr>
      <w:r>
        <w:rPr>
          <w:bCs/>
          <w:rFonts w:ascii="Arial" w:hAnsi="Arial"/>
          <w:b/>
          <w:iCs/>
          <w:i/>
          <w:sz w:val="24"/>
        </w:rPr>
        <w:t xml:space="preserve">Recent Update:</w:t>
      </w:r>
      <w:r>
        <w:rPr>
          <w:iCs/>
          <w:rFonts w:ascii="Arial" w:hAnsi="Arial"/>
          <w:i/>
          <w:sz w:val="24"/>
        </w:rPr>
        <w:t xml:space="preserve"> </w:t>
      </w:r>
      <w:r>
        <w:rPr>
          <w:iCs/>
          <w:rFonts w:ascii="Arial" w:hAnsi="Arial"/>
          <w:i/>
          <w:sz w:val="24"/>
        </w:rPr>
        <w:t xml:space="preserve">Recognizing the unique needs of our technology-driven business, this policy provides enhanced support for software and technological tools, including provisions for remote work setups and necessary internet upgrades.</w:t>
      </w:r>
    </w:p>
    <w:bookmarkEnd w:id="28"/>
    <w:bookmarkStart w:id="29" w:name="compliance-and-monitoring"/>
    <w:p>
      <w:pPr>
        <w:pStyle w:val="Heading2"/>
      </w:pPr>
      <w:r>
        <w:rPr>
          <w:rFonts w:ascii="Arial" w:hAnsi="Arial"/>
          <w:sz w:val="40"/>
        </w:rPr>
        <w:t xml:space="preserve">Compliance and Monitoring</w:t>
      </w:r>
    </w:p>
    <w:p>
      <w:pPr>
        <w:pStyle w:val="FirstParagraph"/>
      </w:pPr>
      <w:r>
        <w:rPr>
          <w:rFonts w:ascii="Arial" w:hAnsi="Arial"/>
          <w:sz w:val="24"/>
        </w:rPr>
        <w:t xml:space="preserve">A culture of compliance is promoted through regular discussions, training, and recognition of adherence to policies. The finance team employs real-time alerts and analytics within our expense management software to prevent fraud, duplicate claims, and ensure timely reporting.</w:t>
      </w:r>
    </w:p>
    <w:bookmarkEnd w:id="29"/>
    <w:bookmarkStart w:id="38" w:name="addressing-non-compliance"/>
    <w:p>
      <w:pPr>
        <w:pStyle w:val="Heading2"/>
      </w:pPr>
      <w:r>
        <w:rPr>
          <w:rFonts w:ascii="Arial" w:hAnsi="Arial"/>
          <w:sz w:val="40"/>
        </w:rPr>
        <w:t xml:space="preserve">Addressing Non-compliance</w:t>
      </w:r>
    </w:p>
    <w:p>
      <w:pPr>
        <w:pStyle w:val="FirstParagraph"/>
      </w:pPr>
      <w:r>
        <w:rPr>
          <w:rFonts w:ascii="Arial" w:hAnsi="Arial"/>
          <w:sz w:val="24"/>
        </w:rPr>
        <w:t xml:space="preserve">TechWave Solutions is committed to enforcing its expense policy while recognizing that genuine misunderstandings or exceptional circumstances may lead to policy violations. To address non-compliance effectively and fairly, the following process has been established:</w:t>
      </w:r>
    </w:p>
    <w:bookmarkStart w:id="30" w:name="identification-of-violation"/>
    <w:p>
      <w:pPr>
        <w:pStyle w:val="Heading3"/>
      </w:pPr>
      <w:r>
        <w:rPr>
          <w:bCs/>
          <w:rFonts w:ascii="Arial" w:hAnsi="Arial"/>
          <w:b/>
          <w:sz w:val="36"/>
        </w:rPr>
        <w:t xml:space="preserve">1. Identification of Violation</w:t>
      </w:r>
    </w:p>
    <w:p>
      <w:pPr>
        <w:numPr>
          <w:ilvl w:val="0"/>
          <w:numId w:val="1004"/>
        </w:numPr>
        <w:pStyle w:val="Compact"/>
      </w:pPr>
      <w:r>
        <w:rPr>
          <w:bCs/>
          <w:rFonts w:ascii="Arial" w:hAnsi="Arial"/>
          <w:b/>
          <w:sz w:val="24"/>
        </w:rPr>
        <w:t xml:space="preserve">Automated Alerts:</w:t>
      </w:r>
      <w:r>
        <w:rPr>
          <w:rFonts w:ascii="Arial" w:hAnsi="Arial"/>
          <w:sz w:val="24"/>
        </w:rPr>
        <w:t xml:space="preserve"> </w:t>
      </w:r>
      <w:r>
        <w:rPr>
          <w:rFonts w:ascii="Arial" w:hAnsi="Arial"/>
          <w:sz w:val="24"/>
        </w:rPr>
        <w:t xml:space="preserve">The expense management software automatically flags submissions that exceed set limits or fall outside policy guidelines.</w:t>
      </w:r>
    </w:p>
    <w:p>
      <w:pPr>
        <w:numPr>
          <w:ilvl w:val="0"/>
          <w:numId w:val="1004"/>
        </w:numPr>
        <w:pStyle w:val="Compact"/>
      </w:pPr>
      <w:r>
        <w:rPr>
          <w:bCs/>
          <w:rFonts w:ascii="Arial" w:hAnsi="Arial"/>
          <w:b/>
          <w:sz w:val="24"/>
        </w:rPr>
        <w:t xml:space="preserve">Manual Review:</w:t>
      </w:r>
      <w:r>
        <w:rPr>
          <w:rFonts w:ascii="Arial" w:hAnsi="Arial"/>
          <w:sz w:val="24"/>
        </w:rPr>
        <w:t xml:space="preserve"> </w:t>
      </w:r>
      <w:r>
        <w:rPr>
          <w:rFonts w:ascii="Arial" w:hAnsi="Arial"/>
          <w:sz w:val="24"/>
        </w:rPr>
        <w:t xml:space="preserve">Regular audits by the finance team to identify discrepancies or patterns of non-compliance.</w:t>
      </w:r>
    </w:p>
    <w:bookmarkEnd w:id="30"/>
    <w:bookmarkStart w:id="31" w:name="initial-review"/>
    <w:p>
      <w:pPr>
        <w:pStyle w:val="Heading3"/>
      </w:pPr>
      <w:r>
        <w:rPr>
          <w:bCs/>
          <w:rFonts w:ascii="Arial" w:hAnsi="Arial"/>
          <w:b/>
          <w:sz w:val="36"/>
        </w:rPr>
        <w:t xml:space="preserve">2. Initial Review</w:t>
      </w:r>
    </w:p>
    <w:p>
      <w:pPr>
        <w:numPr>
          <w:ilvl w:val="0"/>
          <w:numId w:val="1005"/>
        </w:numPr>
        <w:pStyle w:val="Compact"/>
      </w:pPr>
      <w:r>
        <w:rPr>
          <w:rFonts w:ascii="Arial" w:hAnsi="Arial"/>
          <w:sz w:val="24"/>
        </w:rPr>
        <w:t xml:space="preserve">Upon identification, the finance team conducts an initial review to ascertain the context and severity of the violation.</w:t>
      </w:r>
    </w:p>
    <w:p>
      <w:pPr>
        <w:numPr>
          <w:ilvl w:val="0"/>
          <w:numId w:val="1005"/>
        </w:numPr>
        <w:pStyle w:val="Compact"/>
      </w:pPr>
      <w:r>
        <w:rPr>
          <w:rFonts w:ascii="Arial" w:hAnsi="Arial"/>
          <w:sz w:val="24"/>
        </w:rPr>
        <w:t xml:space="preserve">The employee’s direct manager is notified and involved in the preliminary assessment.</w:t>
      </w:r>
    </w:p>
    <w:bookmarkEnd w:id="31"/>
    <w:bookmarkStart w:id="32" w:name="employee-notification"/>
    <w:p>
      <w:pPr>
        <w:pStyle w:val="Heading3"/>
      </w:pPr>
      <w:r>
        <w:rPr>
          <w:bCs/>
          <w:rFonts w:ascii="Arial" w:hAnsi="Arial"/>
          <w:b/>
          <w:sz w:val="36"/>
        </w:rPr>
        <w:t xml:space="preserve">3. Employee Notification</w:t>
      </w:r>
    </w:p>
    <w:p>
      <w:pPr>
        <w:numPr>
          <w:ilvl w:val="0"/>
          <w:numId w:val="1006"/>
        </w:numPr>
        <w:pStyle w:val="Compact"/>
      </w:pPr>
      <w:r>
        <w:rPr>
          <w:rFonts w:ascii="Arial" w:hAnsi="Arial"/>
          <w:sz w:val="24"/>
        </w:rPr>
        <w:t xml:space="preserve">Employees found to have submitted non-compliant expenses are notified in writing, detailing the nature of the violation and requesting an explanation within a specified timeframe.</w:t>
      </w:r>
    </w:p>
    <w:bookmarkEnd w:id="32"/>
    <w:bookmarkStart w:id="33" w:name="explanation-and-review"/>
    <w:p>
      <w:pPr>
        <w:pStyle w:val="Heading3"/>
      </w:pPr>
      <w:r>
        <w:rPr>
          <w:bCs/>
          <w:rFonts w:ascii="Arial" w:hAnsi="Arial"/>
          <w:b/>
          <w:sz w:val="36"/>
        </w:rPr>
        <w:t xml:space="preserve">4. Explanation and Review</w:t>
      </w:r>
    </w:p>
    <w:p>
      <w:pPr>
        <w:numPr>
          <w:ilvl w:val="0"/>
          <w:numId w:val="1007"/>
        </w:numPr>
        <w:pStyle w:val="Compact"/>
      </w:pPr>
      <w:r>
        <w:rPr>
          <w:rFonts w:ascii="Arial" w:hAnsi="Arial"/>
          <w:sz w:val="24"/>
        </w:rPr>
        <w:t xml:space="preserve">Employees are given the opportunity to provide context or justification for the expense. This could include unforeseen circumstances, emergencies, or misunderstandings of the policy.</w:t>
      </w:r>
    </w:p>
    <w:p>
      <w:pPr>
        <w:numPr>
          <w:ilvl w:val="0"/>
          <w:numId w:val="1007"/>
        </w:numPr>
        <w:pStyle w:val="Compact"/>
      </w:pPr>
      <w:r>
        <w:rPr>
          <w:rFonts w:ascii="Arial" w:hAnsi="Arial"/>
          <w:sz w:val="24"/>
        </w:rPr>
        <w:t xml:space="preserve">The finance team, along with relevant department heads, reviews the explanation to determine if the expense can be justified or if further action is necessary.</w:t>
      </w:r>
    </w:p>
    <w:bookmarkEnd w:id="33"/>
    <w:bookmarkStart w:id="34" w:name="resolution"/>
    <w:p>
      <w:pPr>
        <w:pStyle w:val="Heading3"/>
      </w:pPr>
      <w:r>
        <w:rPr>
          <w:bCs/>
          <w:rFonts w:ascii="Arial" w:hAnsi="Arial"/>
          <w:b/>
          <w:sz w:val="36"/>
        </w:rPr>
        <w:t xml:space="preserve">5. Resolution</w:t>
      </w:r>
    </w:p>
    <w:p>
      <w:pPr>
        <w:numPr>
          <w:ilvl w:val="0"/>
          <w:numId w:val="1008"/>
        </w:numPr>
        <w:pStyle w:val="Compact"/>
      </w:pPr>
      <w:r>
        <w:rPr>
          <w:bCs/>
          <w:rFonts w:ascii="Arial" w:hAnsi="Arial"/>
          <w:b/>
          <w:sz w:val="24"/>
        </w:rPr>
        <w:t xml:space="preserve">Justified Expenses:</w:t>
      </w:r>
      <w:r>
        <w:rPr>
          <w:rFonts w:ascii="Arial" w:hAnsi="Arial"/>
          <w:sz w:val="24"/>
        </w:rPr>
        <w:t xml:space="preserve"> </w:t>
      </w:r>
      <w:r>
        <w:rPr>
          <w:rFonts w:ascii="Arial" w:hAnsi="Arial"/>
          <w:sz w:val="24"/>
        </w:rPr>
        <w:t xml:space="preserve">If the violation is deemed justifiable under exceptional circumstances, the expense may be approved on an exception basis. Documentation of the justification and approval is recorded for future reference.</w:t>
      </w:r>
    </w:p>
    <w:p>
      <w:pPr>
        <w:numPr>
          <w:ilvl w:val="0"/>
          <w:numId w:val="1008"/>
        </w:numPr>
        <w:pStyle w:val="Compact"/>
      </w:pPr>
      <w:r>
        <w:rPr>
          <w:bCs/>
          <w:rFonts w:ascii="Arial" w:hAnsi="Arial"/>
          <w:b/>
          <w:sz w:val="24"/>
        </w:rPr>
        <w:t xml:space="preserve">Unjustified Expenses:</w:t>
      </w:r>
      <w:r>
        <w:rPr>
          <w:rFonts w:ascii="Arial" w:hAnsi="Arial"/>
          <w:sz w:val="24"/>
        </w:rPr>
        <w:t xml:space="preserve"> </w:t>
      </w:r>
      <w:r>
        <w:rPr>
          <w:rFonts w:ascii="Arial" w:hAnsi="Arial"/>
          <w:sz w:val="24"/>
        </w:rPr>
        <w:t xml:space="preserve">For unjustified violations, the employee may be required to reimburse the expense. Further disciplinary action, such as formal warnings or impact on performance reviews, may be considered based on the severity and frequency of violations.</w:t>
      </w:r>
    </w:p>
    <w:bookmarkEnd w:id="34"/>
    <w:bookmarkStart w:id="35" w:name="policy-adjustment-and-training"/>
    <w:p>
      <w:pPr>
        <w:pStyle w:val="Heading3"/>
      </w:pPr>
      <w:r>
        <w:rPr>
          <w:bCs/>
          <w:rFonts w:ascii="Arial" w:hAnsi="Arial"/>
          <w:b/>
          <w:sz w:val="36"/>
        </w:rPr>
        <w:t xml:space="preserve">6. Policy Adjustment and Training</w:t>
      </w:r>
    </w:p>
    <w:p>
      <w:pPr>
        <w:numPr>
          <w:ilvl w:val="0"/>
          <w:numId w:val="1009"/>
        </w:numPr>
        <w:pStyle w:val="Compact"/>
      </w:pPr>
      <w:r>
        <w:rPr>
          <w:rFonts w:ascii="Arial" w:hAnsi="Arial"/>
          <w:sz w:val="24"/>
        </w:rPr>
        <w:t xml:space="preserve">In cases where non-compliance is linked to unclear policy guidelines or recurring misunderstandings, the policy will be reviewed and updated accordingly.</w:t>
      </w:r>
    </w:p>
    <w:p>
      <w:pPr>
        <w:numPr>
          <w:ilvl w:val="0"/>
          <w:numId w:val="1009"/>
        </w:numPr>
        <w:pStyle w:val="Compact"/>
      </w:pPr>
      <w:r>
        <w:rPr>
          <w:rFonts w:ascii="Arial" w:hAnsi="Arial"/>
          <w:sz w:val="24"/>
        </w:rPr>
        <w:t xml:space="preserve">Additional training sessions may be conducted to ensure all employees understand the expense policy and updates.</w:t>
      </w:r>
    </w:p>
    <w:bookmarkEnd w:id="35"/>
    <w:bookmarkStart w:id="36" w:name="monitoring-and-feedback"/>
    <w:p>
      <w:pPr>
        <w:pStyle w:val="Heading3"/>
      </w:pPr>
      <w:r>
        <w:rPr>
          <w:bCs/>
          <w:rFonts w:ascii="Arial" w:hAnsi="Arial"/>
          <w:b/>
          <w:sz w:val="36"/>
        </w:rPr>
        <w:t xml:space="preserve">7. Monitoring and Feedback</w:t>
      </w:r>
    </w:p>
    <w:p>
      <w:pPr>
        <w:numPr>
          <w:ilvl w:val="0"/>
          <w:numId w:val="1010"/>
        </w:numPr>
        <w:pStyle w:val="Compact"/>
      </w:pPr>
      <w:r>
        <w:rPr>
          <w:rFonts w:ascii="Arial" w:hAnsi="Arial"/>
          <w:sz w:val="24"/>
        </w:rPr>
        <w:t xml:space="preserve">Continuous monitoring of expense submissions and compliance rates to identify trends or areas for improvement.</w:t>
      </w:r>
    </w:p>
    <w:p>
      <w:pPr>
        <w:numPr>
          <w:ilvl w:val="0"/>
          <w:numId w:val="1010"/>
        </w:numPr>
        <w:pStyle w:val="Compact"/>
      </w:pPr>
      <w:r>
        <w:rPr>
          <w:rFonts w:ascii="Arial" w:hAnsi="Arial"/>
          <w:sz w:val="24"/>
        </w:rPr>
        <w:t xml:space="preserve">Soliciting feedback from employees on the expense reporting process and policy understanding to make necessary adjustments.</w:t>
      </w:r>
    </w:p>
    <w:bookmarkEnd w:id="36"/>
    <w:bookmarkStart w:id="37" w:name="communication"/>
    <w:p>
      <w:pPr>
        <w:pStyle w:val="Heading3"/>
      </w:pPr>
      <w:r>
        <w:rPr>
          <w:bCs/>
          <w:rFonts w:ascii="Arial" w:hAnsi="Arial"/>
          <w:b/>
          <w:sz w:val="36"/>
        </w:rPr>
        <w:t xml:space="preserve">8. Communication</w:t>
      </w:r>
    </w:p>
    <w:p>
      <w:pPr>
        <w:numPr>
          <w:ilvl w:val="0"/>
          <w:numId w:val="1011"/>
        </w:numPr>
        <w:pStyle w:val="Compact"/>
      </w:pPr>
      <w:r>
        <w:rPr>
          <w:rFonts w:ascii="Arial" w:hAnsi="Arial"/>
          <w:sz w:val="24"/>
        </w:rPr>
        <w:t xml:space="preserve">Updates or changes to the expense policy, as a result of addressing non-compliance, are communicated to all employees through appropriate channels, including meetings, email newsletters, and the company intranet.</w:t>
      </w:r>
    </w:p>
    <w:bookmarkEnd w:id="37"/>
    <w:bookmarkEnd w:id="38"/>
    <w:bookmarkStart w:id="39" w:name="conclusion"/>
    <w:p>
      <w:pPr>
        <w:pStyle w:val="Heading2"/>
      </w:pPr>
      <w:r>
        <w:rPr>
          <w:rFonts w:ascii="Arial" w:hAnsi="Arial"/>
          <w:sz w:val="40"/>
        </w:rPr>
        <w:t xml:space="preserve">Conclusion</w:t>
      </w:r>
    </w:p>
    <w:p>
      <w:pPr>
        <w:pStyle w:val="FirstParagraph"/>
      </w:pPr>
      <w:r>
        <w:rPr>
          <w:rFonts w:ascii="Arial" w:hAnsi="Arial"/>
          <w:sz w:val="24"/>
        </w:rPr>
        <w:t xml:space="preserve">TechWave Solutions is committed to maintaining a robust and clear expense policy that supports our employees and business operations. Through adherence to these guidelines, we ensure responsible spending, operational efficiency, and compliance with corporate policies.</w:t>
      </w:r>
    </w:p>
    <w:p>
      <w:pPr>
        <w:pStyle w:val="BodyText"/>
      </w:pPr>
      <w:r>
        <w:rPr>
          <w:rFonts w:ascii="Arial" w:hAnsi="Arial"/>
          <w:sz w:val="24"/>
        </w:rPr>
        <w:t xml:space="preserve">This policy is effective as of [Effective Date] and supersedes all previous versions. For any questions or clarifications, employees are encouraged to contact their manager or the finance department.</w:t>
      </w:r>
    </w:p>
    <w:p>
      <w:pPr>
        <w:pStyle w:val="BodyText"/>
      </w:pPr>
      <w:r>
        <w:rPr>
          <w:bCs/>
          <w:rFonts w:ascii="Arial" w:hAnsi="Arial"/>
          <w:b/>
          <w:sz w:val="24"/>
        </w:rPr>
        <w:t xml:space="preserve">Note:</w:t>
      </w:r>
      <w:r>
        <w:rPr>
          <w:rFonts w:ascii="Arial" w:hAnsi="Arial"/>
          <w:sz w:val="24"/>
        </w:rPr>
        <w:t xml:space="preserve"> </w:t>
      </w:r>
      <w:r>
        <w:rPr>
          <w:rFonts w:ascii="Arial" w:hAnsi="Arial"/>
          <w:sz w:val="24"/>
        </w:rPr>
        <w:t xml:space="preserve">This document is intended for internal use by TechWave Solutions employees. Unauthorized distribution or use of this document is strictly prohibited.</w:t>
      </w:r>
    </w:p>
    <w:bookmarkEnd w:id="39"/>
    <w:bookmarkEnd w:id="4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2024-02-13T11:41:34Z</dcterms:created>
  <dcterms:modified xsi:type="dcterms:W3CDTF">2024-02-13T11:41:34Z</dcterms:modified>
</cp:coreProperties>
</file>

<file path=docProps/custom.xml><?xml version="1.0" encoding="utf-8"?>
<Properties xmlns="http://schemas.openxmlformats.org/officeDocument/2006/custom-properties" xmlns:vt="http://schemas.openxmlformats.org/officeDocument/2006/docPropsVTypes"/>
</file>